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kern w:val="0"/>
          <w:sz w:val="44"/>
          <w:szCs w:val="44"/>
        </w:rPr>
      </w:pPr>
      <w:r>
        <w:rPr>
          <w:rFonts w:hint="eastAsia" w:ascii="仿宋" w:hAnsi="仿宋" w:eastAsia="仿宋" w:cs="仿宋"/>
          <w:b/>
          <w:kern w:val="0"/>
          <w:sz w:val="44"/>
          <w:szCs w:val="44"/>
        </w:rPr>
        <w:t>湛江市地方标准</w:t>
      </w:r>
    </w:p>
    <w:p>
      <w:pPr>
        <w:spacing w:line="360" w:lineRule="auto"/>
        <w:jc w:val="center"/>
        <w:rPr>
          <w:rFonts w:ascii="仿宋" w:hAnsi="仿宋" w:eastAsia="仿宋" w:cs="仿宋"/>
          <w:b/>
          <w:kern w:val="0"/>
          <w:sz w:val="44"/>
          <w:szCs w:val="44"/>
        </w:rPr>
      </w:pPr>
      <w:r>
        <w:rPr>
          <w:rFonts w:hint="eastAsia" w:ascii="仿宋" w:hAnsi="仿宋" w:eastAsia="仿宋" w:cs="仿宋"/>
          <w:b/>
          <w:kern w:val="0"/>
          <w:sz w:val="44"/>
          <w:szCs w:val="44"/>
        </w:rPr>
        <w:t>《即食金鲳鱼块加工技术规程》编制说明</w:t>
      </w:r>
    </w:p>
    <w:p>
      <w:pPr>
        <w:spacing w:line="540" w:lineRule="exact"/>
        <w:jc w:val="center"/>
        <w:rPr>
          <w:rFonts w:ascii="仿宋" w:hAnsi="仿宋" w:eastAsia="仿宋" w:cs="仿宋"/>
          <w:b/>
          <w:kern w:val="0"/>
          <w:sz w:val="30"/>
          <w:szCs w:val="30"/>
        </w:rPr>
      </w:pPr>
    </w:p>
    <w:p>
      <w:pPr>
        <w:spacing w:line="360" w:lineRule="auto"/>
        <w:rPr>
          <w:rFonts w:ascii="仿宋" w:hAnsi="仿宋" w:eastAsia="仿宋" w:cs="仿宋"/>
          <w:b/>
          <w:sz w:val="30"/>
          <w:szCs w:val="30"/>
        </w:rPr>
      </w:pPr>
      <w:r>
        <w:rPr>
          <w:rFonts w:hint="eastAsia" w:ascii="仿宋" w:hAnsi="仿宋" w:eastAsia="仿宋" w:cs="仿宋"/>
          <w:b/>
          <w:sz w:val="30"/>
          <w:szCs w:val="30"/>
        </w:rPr>
        <w:t>一、任务来源</w:t>
      </w:r>
    </w:p>
    <w:p>
      <w:pPr>
        <w:spacing w:line="360" w:lineRule="auto"/>
        <w:ind w:firstLine="600" w:firstLineChars="200"/>
        <w:rPr>
          <w:rFonts w:ascii="仿宋" w:hAnsi="仿宋" w:eastAsia="仿宋" w:cs="仿宋"/>
          <w:b/>
          <w:sz w:val="30"/>
          <w:szCs w:val="30"/>
        </w:rPr>
      </w:pPr>
      <w:r>
        <w:rPr>
          <w:rFonts w:hint="eastAsia" w:ascii="仿宋" w:hAnsi="仿宋" w:eastAsia="仿宋" w:cs="仿宋"/>
          <w:sz w:val="30"/>
          <w:szCs w:val="30"/>
        </w:rPr>
        <w:t>根据湛江市市场监督管理局发布的《关于批准下达2022、2023年度湛江市地方标准制修订计划项目的通知》（湛市监计[2023]40号）的要求，由广东恒兴集团有限公司主导牵头，联合广东省湛江市质量技术监督标准与编码所、广东海洋大学、湛江市食品药品检验所、南方海洋科学与工程广东省实验室（湛江）4个单位共同制定湛江市地方标准《即食金鲳鱼块加工技术规程》。</w:t>
      </w:r>
    </w:p>
    <w:p>
      <w:pPr>
        <w:spacing w:line="360" w:lineRule="auto"/>
        <w:rPr>
          <w:rFonts w:ascii="仿宋" w:hAnsi="仿宋" w:eastAsia="仿宋" w:cs="仿宋"/>
          <w:b/>
          <w:sz w:val="30"/>
          <w:szCs w:val="30"/>
        </w:rPr>
      </w:pPr>
      <w:r>
        <w:rPr>
          <w:rFonts w:hint="eastAsia" w:ascii="仿宋" w:hAnsi="仿宋" w:eastAsia="仿宋" w:cs="仿宋"/>
          <w:b/>
          <w:sz w:val="30"/>
          <w:szCs w:val="30"/>
        </w:rPr>
        <w:t>二、编制背景、目的和意义</w:t>
      </w:r>
    </w:p>
    <w:p>
      <w:pPr>
        <w:spacing w:line="360" w:lineRule="auto"/>
        <w:ind w:firstLine="600" w:firstLineChars="200"/>
        <w:rPr>
          <w:rFonts w:ascii="仿宋" w:hAnsi="仿宋" w:eastAsia="仿宋" w:cs="仿宋"/>
          <w:bCs/>
          <w:sz w:val="30"/>
          <w:szCs w:val="30"/>
        </w:rPr>
      </w:pPr>
      <w:r>
        <w:rPr>
          <w:rFonts w:hint="eastAsia" w:ascii="仿宋" w:hAnsi="仿宋" w:eastAsia="仿宋" w:cs="仿宋"/>
          <w:bCs/>
          <w:sz w:val="30"/>
          <w:szCs w:val="30"/>
        </w:rPr>
        <w:t>世界海洋水产资源丰富。2015 年，鱼类约占全球人口动物蛋白消费量的 17%，为约 32 亿人口提供了人均动物蛋白摄入量的近 20%。到 2050 年，全球对动物蛋白的需求将翻一番，海洋水产的精深加工是世界关注的话题。中国是世界水产养殖产量最高的国家，但和世界水产品加工业发达的国家相比，我国海水养殖鱼类加工比例低、贮藏性能差、产品单一，加工过程中产品品质变化明显等，鱼类整体加工技术和加工利用率有待提高，也是制约海水养殖产业链的关键环节。</w:t>
      </w:r>
    </w:p>
    <w:p>
      <w:pPr>
        <w:spacing w:line="360" w:lineRule="auto"/>
        <w:ind w:firstLine="600" w:firstLineChars="200"/>
        <w:rPr>
          <w:rFonts w:ascii="仿宋" w:hAnsi="仿宋" w:eastAsia="仿宋" w:cs="仿宋"/>
          <w:bCs/>
          <w:sz w:val="30"/>
          <w:szCs w:val="30"/>
        </w:rPr>
      </w:pPr>
      <w:r>
        <w:rPr>
          <w:rFonts w:hint="eastAsia" w:ascii="仿宋" w:hAnsi="仿宋" w:eastAsia="仿宋" w:cs="仿宋"/>
          <w:bCs/>
          <w:sz w:val="30"/>
          <w:szCs w:val="30"/>
        </w:rPr>
        <w:t>金鲳鱼是我国发展最快的海水养殖品种。目前，全国金鲳鱼的年产量 17～18 万吨产量，有50%分布于广东，而广东金鲳鱼产量超过70%来自湛江。湛江是全国最大的金鲳鱼养殖基地，金鲳鱼产业总产值约 100 亿元，产业规 模位居全国首位，2021 年获批“中国金鲳鱼之都”。金鲳鱼体形适中，肉质细嫩，味道鲜美，含有丰富的微量元素硒和镁，不饱和脂肪酸含量高。目前 主要的加工产品以淡晒金鲳鱼为主，金鲳鱼的经济价值远远没有被开发出来。另一方面，随着人们生活水平的提高和消费群体快节奏生活常态化，对高品质休闲即食预制食品的需求已成为必然。</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广东高度重视预制菜产业发展，《加快推进广东预制菜产业高质量发展十条措施》中明确要建设预制菜联合研发平台、培养预制菜产业人才、推动预制菜走向国际市场；《关于做好2022年全面推进乡村振兴重点工作的实施意见》中强调推进现代农业产业园建设和预制菜产业发展，使预制菜产业成为广东乡村振兴发展的新能量。为此，充分利用集约化养殖海水金鲳鱼资源，通过关键技术集成研究，解决金鲳鱼低耗预制加工与全利用的共性关键技术，开发适应即食产品标准化的鱼类加工预制产品，建立产品质量评价体系，产业化制备新型即食金鲳鱼块深加工产品，提高产品在消费市场上的竞争力。项目的实施既是海水养殖产业链的必然延伸，也是实施乡村振兴战略的 重要任务和健康食品产业发展的必然趋势，符合资源利用最大化、绿色生产加工及健康中国战略，具有明显的经济效益和社会效益。</w:t>
      </w:r>
    </w:p>
    <w:p>
      <w:pPr>
        <w:spacing w:line="360" w:lineRule="auto"/>
        <w:ind w:firstLine="600" w:firstLineChars="200"/>
        <w:rPr>
          <w:rFonts w:ascii="仿宋" w:hAnsi="仿宋" w:eastAsia="仿宋" w:cs="仿宋"/>
          <w:sz w:val="30"/>
          <w:szCs w:val="30"/>
        </w:rPr>
      </w:pPr>
      <w:r>
        <w:rPr>
          <w:rFonts w:hint="eastAsia" w:ascii="仿宋" w:hAnsi="仿宋" w:eastAsia="仿宋" w:cs="仿宋"/>
          <w:bCs/>
          <w:sz w:val="30"/>
          <w:szCs w:val="30"/>
        </w:rPr>
        <w:t>为了进一步规范金鲳鱼产业标准实现“金鲳鱼经济”转型升级， 金鲳鱼就不仅是预制菜式，更是大食物观下的“海上粮仓”，该标准的制定，能够规范即食金鲳鱼块加工企业生产操作，以及成为判定加工企业是否履行规定程序的依据，对规范休闲食品金鲳鱼市场，带动湛江水产预制菜产业高速发展具有重要意义。</w:t>
      </w:r>
    </w:p>
    <w:p>
      <w:pPr>
        <w:spacing w:line="360" w:lineRule="auto"/>
        <w:rPr>
          <w:rFonts w:ascii="仿宋" w:hAnsi="仿宋" w:eastAsia="仿宋" w:cs="仿宋"/>
          <w:b/>
          <w:sz w:val="30"/>
          <w:szCs w:val="30"/>
        </w:rPr>
      </w:pPr>
      <w:r>
        <w:rPr>
          <w:rFonts w:hint="eastAsia" w:ascii="仿宋" w:hAnsi="仿宋" w:eastAsia="仿宋" w:cs="仿宋"/>
          <w:b/>
          <w:sz w:val="30"/>
          <w:szCs w:val="30"/>
        </w:rPr>
        <w:t>三、标准编制原则</w:t>
      </w:r>
    </w:p>
    <w:p>
      <w:pPr>
        <w:widowControl/>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1、遵循国家有关方针和政策、法规和规章。</w:t>
      </w:r>
    </w:p>
    <w:p>
      <w:pPr>
        <w:widowControl/>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2、格式上按照GB/T 1.1-2020《标准化工作导则 第1部分：标准化文件的结构和起草规则》的规定进行编写。</w:t>
      </w:r>
    </w:p>
    <w:p>
      <w:pPr>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3、严格执行强制性国家标准，充分考虑与其它相关标准相协调。</w:t>
      </w:r>
    </w:p>
    <w:p>
      <w:pPr>
        <w:spacing w:line="360" w:lineRule="auto"/>
        <w:rPr>
          <w:rFonts w:ascii="仿宋" w:hAnsi="仿宋" w:eastAsia="仿宋" w:cs="仿宋"/>
          <w:b/>
          <w:sz w:val="30"/>
          <w:szCs w:val="30"/>
        </w:rPr>
      </w:pPr>
      <w:r>
        <w:rPr>
          <w:rFonts w:hint="eastAsia" w:ascii="仿宋" w:hAnsi="仿宋" w:eastAsia="仿宋" w:cs="仿宋"/>
          <w:b/>
          <w:sz w:val="30"/>
          <w:szCs w:val="30"/>
        </w:rPr>
        <w:t>四、主要标准</w:t>
      </w:r>
      <w:r>
        <w:rPr>
          <w:rFonts w:hint="eastAsia" w:ascii="仿宋" w:hAnsi="仿宋" w:eastAsia="仿宋" w:cs="仿宋"/>
          <w:b/>
          <w:kern w:val="0"/>
          <w:sz w:val="30"/>
          <w:szCs w:val="30"/>
        </w:rPr>
        <w:t>编制</w:t>
      </w:r>
      <w:r>
        <w:rPr>
          <w:rFonts w:hint="eastAsia" w:ascii="仿宋" w:hAnsi="仿宋" w:eastAsia="仿宋" w:cs="仿宋"/>
          <w:b/>
          <w:sz w:val="30"/>
          <w:szCs w:val="30"/>
        </w:rPr>
        <w:t>工作过程</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1、成立《即食金鲳鱼块加工技术规程》地方标准起草小组，对该标准的制定进行调研、验证，收集相关资料，完成前期调研和资料收集工作； </w:t>
      </w:r>
      <w:r>
        <w:rPr>
          <w:rFonts w:hint="eastAsia" w:ascii="仿宋" w:hAnsi="仿宋" w:eastAsia="仿宋" w:cs="仿宋"/>
          <w:bCs/>
          <w:sz w:val="30"/>
          <w:szCs w:val="30"/>
        </w:rPr>
        <w:br w:type="textWrapping"/>
      </w:r>
      <w:r>
        <w:rPr>
          <w:rFonts w:hint="eastAsia" w:ascii="仿宋" w:hAnsi="仿宋" w:eastAsia="仿宋" w:cs="仿宋"/>
          <w:bCs/>
          <w:sz w:val="30"/>
          <w:szCs w:val="30"/>
        </w:rPr>
        <w:t xml:space="preserve">    2、对前期调研收集的资料进行筛选，确定标准起草的主要内容，完成标准草案的起草；</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3、整理资料、查阅文献，修改标准草案内容，形成标准征求意见稿。</w:t>
      </w:r>
    </w:p>
    <w:p>
      <w:pPr>
        <w:spacing w:line="360" w:lineRule="auto"/>
        <w:rPr>
          <w:rFonts w:ascii="仿宋" w:hAnsi="仿宋" w:eastAsia="仿宋" w:cs="仿宋"/>
          <w:b/>
          <w:kern w:val="0"/>
          <w:sz w:val="30"/>
          <w:szCs w:val="30"/>
        </w:rPr>
      </w:pPr>
      <w:r>
        <w:rPr>
          <w:rFonts w:hint="eastAsia" w:ascii="仿宋" w:hAnsi="仿宋" w:eastAsia="仿宋" w:cs="仿宋"/>
          <w:b/>
          <w:kern w:val="0"/>
          <w:sz w:val="30"/>
          <w:szCs w:val="30"/>
        </w:rPr>
        <w:t>五、标准主要条款编制说明</w:t>
      </w:r>
    </w:p>
    <w:p>
      <w:pPr>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本产品属于水产制品，本标准是结合本公司生产加工即食金鲳鱼块的产品特点和参考国家标准 GB 10136《食品安全国家标准 动物性水产制品》确定，本标准主要规定了以下内容。</w:t>
      </w:r>
    </w:p>
    <w:p>
      <w:pPr>
        <w:spacing w:line="360" w:lineRule="auto"/>
        <w:ind w:left="480"/>
        <w:jc w:val="left"/>
        <w:rPr>
          <w:rFonts w:ascii="仿宋" w:hAnsi="仿宋" w:eastAsia="仿宋" w:cs="仿宋"/>
          <w:b/>
          <w:color w:val="000000"/>
          <w:sz w:val="30"/>
          <w:szCs w:val="30"/>
        </w:rPr>
      </w:pPr>
      <w:r>
        <w:rPr>
          <w:rFonts w:hint="eastAsia" w:ascii="仿宋" w:hAnsi="仿宋" w:eastAsia="仿宋" w:cs="仿宋"/>
          <w:b/>
          <w:kern w:val="0"/>
          <w:sz w:val="30"/>
          <w:szCs w:val="30"/>
        </w:rPr>
        <w:t>（一）</w:t>
      </w:r>
      <w:r>
        <w:rPr>
          <w:rFonts w:hint="eastAsia" w:ascii="仿宋" w:hAnsi="仿宋" w:eastAsia="仿宋" w:cs="仿宋"/>
          <w:b/>
          <w:color w:val="000000"/>
          <w:sz w:val="30"/>
          <w:szCs w:val="30"/>
        </w:rPr>
        <w:t>标准适用范围</w:t>
      </w:r>
    </w:p>
    <w:p>
      <w:pPr>
        <w:spacing w:line="360" w:lineRule="auto"/>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本标准确立</w:t>
      </w:r>
      <w:r>
        <w:rPr>
          <w:rFonts w:ascii="仿宋" w:hAnsi="仿宋" w:eastAsia="仿宋" w:cs="仿宋"/>
          <w:kern w:val="0"/>
          <w:sz w:val="30"/>
          <w:szCs w:val="30"/>
        </w:rPr>
        <w:t>了</w:t>
      </w:r>
      <w:r>
        <w:rPr>
          <w:rFonts w:hint="eastAsia" w:ascii="仿宋" w:hAnsi="仿宋" w:eastAsia="仿宋" w:cs="仿宋"/>
          <w:kern w:val="0"/>
          <w:sz w:val="30"/>
          <w:szCs w:val="30"/>
        </w:rPr>
        <w:t>即食金</w:t>
      </w:r>
      <w:r>
        <w:rPr>
          <w:rFonts w:ascii="仿宋" w:hAnsi="仿宋" w:eastAsia="仿宋" w:cs="仿宋"/>
          <w:kern w:val="0"/>
          <w:sz w:val="30"/>
          <w:szCs w:val="30"/>
        </w:rPr>
        <w:t>鲳</w:t>
      </w:r>
      <w:r>
        <w:rPr>
          <w:rFonts w:hint="eastAsia" w:ascii="仿宋" w:hAnsi="仿宋" w:eastAsia="仿宋" w:cs="仿宋"/>
          <w:kern w:val="0"/>
          <w:sz w:val="30"/>
          <w:szCs w:val="30"/>
        </w:rPr>
        <w:t>鱼块</w:t>
      </w:r>
      <w:r>
        <w:rPr>
          <w:rFonts w:ascii="仿宋" w:hAnsi="仿宋" w:eastAsia="仿宋" w:cs="仿宋"/>
          <w:kern w:val="0"/>
          <w:sz w:val="30"/>
          <w:szCs w:val="30"/>
        </w:rPr>
        <w:t>的总体要求和</w:t>
      </w:r>
      <w:r>
        <w:rPr>
          <w:rFonts w:hint="eastAsia" w:ascii="仿宋" w:hAnsi="仿宋" w:eastAsia="仿宋" w:cs="仿宋"/>
          <w:kern w:val="0"/>
          <w:sz w:val="30"/>
          <w:szCs w:val="30"/>
        </w:rPr>
        <w:t>加工程序，规定了加工操作和溯源管理等技术内容</w:t>
      </w:r>
      <w:r>
        <w:rPr>
          <w:rFonts w:ascii="仿宋" w:hAnsi="仿宋" w:eastAsia="仿宋" w:cs="仿宋"/>
          <w:kern w:val="0"/>
          <w:sz w:val="30"/>
          <w:szCs w:val="30"/>
        </w:rPr>
        <w:t>。</w:t>
      </w:r>
    </w:p>
    <w:p>
      <w:pPr>
        <w:spacing w:line="360" w:lineRule="auto"/>
        <w:ind w:firstLine="600" w:firstLineChars="200"/>
        <w:jc w:val="left"/>
        <w:rPr>
          <w:rFonts w:ascii="仿宋" w:hAnsi="仿宋" w:eastAsia="仿宋" w:cs="仿宋"/>
          <w:kern w:val="0"/>
          <w:sz w:val="30"/>
          <w:szCs w:val="30"/>
        </w:rPr>
      </w:pPr>
      <w:r>
        <w:rPr>
          <w:rFonts w:ascii="仿宋" w:hAnsi="仿宋" w:eastAsia="仿宋" w:cs="仿宋"/>
          <w:kern w:val="0"/>
          <w:sz w:val="30"/>
          <w:szCs w:val="30"/>
        </w:rPr>
        <w:t>本</w:t>
      </w:r>
      <w:r>
        <w:rPr>
          <w:rFonts w:hint="eastAsia" w:ascii="仿宋" w:hAnsi="仿宋" w:eastAsia="仿宋" w:cs="仿宋"/>
          <w:kern w:val="0"/>
          <w:sz w:val="30"/>
          <w:szCs w:val="30"/>
        </w:rPr>
        <w:t>标准</w:t>
      </w:r>
      <w:r>
        <w:rPr>
          <w:rFonts w:ascii="仿宋" w:hAnsi="仿宋" w:eastAsia="仿宋" w:cs="仿宋"/>
          <w:kern w:val="0"/>
          <w:sz w:val="30"/>
          <w:szCs w:val="30"/>
        </w:rPr>
        <w:t>适用于</w:t>
      </w:r>
      <w:r>
        <w:rPr>
          <w:rFonts w:hint="eastAsia" w:ascii="仿宋" w:hAnsi="仿宋" w:eastAsia="仿宋" w:cs="仿宋"/>
          <w:kern w:val="0"/>
          <w:sz w:val="30"/>
          <w:szCs w:val="30"/>
        </w:rPr>
        <w:t>即食金鲳鱼块加工企业生产操作，以及判定加工企业是否履行规定程序的依据。</w:t>
      </w:r>
    </w:p>
    <w:p>
      <w:pPr>
        <w:spacing w:line="360" w:lineRule="auto"/>
        <w:ind w:firstLine="602" w:firstLineChars="200"/>
        <w:jc w:val="left"/>
        <w:rPr>
          <w:rFonts w:ascii="仿宋" w:hAnsi="仿宋" w:eastAsia="仿宋" w:cs="仿宋"/>
          <w:kern w:val="0"/>
          <w:sz w:val="30"/>
          <w:szCs w:val="30"/>
        </w:rPr>
      </w:pPr>
      <w:r>
        <w:rPr>
          <w:rFonts w:hint="eastAsia" w:ascii="仿宋" w:hAnsi="仿宋" w:eastAsia="仿宋" w:cs="仿宋"/>
          <w:b/>
          <w:color w:val="000000"/>
          <w:sz w:val="30"/>
          <w:szCs w:val="30"/>
        </w:rPr>
        <w:t>（二）标准引用文件</w:t>
      </w:r>
    </w:p>
    <w:p>
      <w:pPr>
        <w:spacing w:line="360" w:lineRule="auto"/>
        <w:ind w:firstLine="600" w:firstLineChars="200"/>
        <w:jc w:val="left"/>
        <w:rPr>
          <w:rFonts w:ascii="仿宋" w:hAnsi="仿宋" w:eastAsia="仿宋" w:cs="仿宋"/>
          <w:kern w:val="0"/>
          <w:sz w:val="30"/>
          <w:szCs w:val="30"/>
        </w:rPr>
      </w:pPr>
      <w:r>
        <w:rPr>
          <w:rFonts w:hint="eastAsia" w:ascii="仿宋" w:hAnsi="仿宋" w:eastAsia="仿宋" w:cs="仿宋"/>
          <w:color w:val="000000"/>
          <w:kern w:val="0"/>
          <w:sz w:val="30"/>
          <w:szCs w:val="30"/>
        </w:rPr>
        <w:t>详见标准文本。</w:t>
      </w:r>
    </w:p>
    <w:p>
      <w:pPr>
        <w:spacing w:line="360" w:lineRule="auto"/>
        <w:ind w:firstLine="602" w:firstLineChars="200"/>
        <w:jc w:val="left"/>
        <w:rPr>
          <w:rFonts w:ascii="仿宋" w:hAnsi="仿宋" w:eastAsia="仿宋" w:cs="仿宋"/>
          <w:b/>
          <w:color w:val="000000"/>
          <w:sz w:val="30"/>
          <w:szCs w:val="30"/>
        </w:rPr>
      </w:pPr>
      <w:r>
        <w:rPr>
          <w:rFonts w:hint="eastAsia" w:ascii="仿宋" w:hAnsi="仿宋" w:eastAsia="仿宋" w:cs="仿宋"/>
          <w:b/>
          <w:color w:val="000000"/>
          <w:sz w:val="30"/>
          <w:szCs w:val="30"/>
        </w:rPr>
        <w:t>（三）术语和定义</w:t>
      </w:r>
    </w:p>
    <w:p>
      <w:pPr>
        <w:spacing w:line="360" w:lineRule="auto"/>
        <w:ind w:firstLine="600" w:firstLineChars="200"/>
        <w:jc w:val="left"/>
        <w:rPr>
          <w:rFonts w:ascii="仿宋" w:hAnsi="仿宋" w:eastAsia="仿宋" w:cs="仿宋"/>
          <w:b/>
          <w:color w:val="000000"/>
          <w:sz w:val="30"/>
          <w:szCs w:val="30"/>
        </w:rPr>
      </w:pPr>
      <w:r>
        <w:rPr>
          <w:rFonts w:hint="eastAsia" w:ascii="仿宋" w:hAnsi="仿宋" w:eastAsia="仿宋" w:cs="仿宋"/>
          <w:color w:val="000000"/>
          <w:kern w:val="0"/>
          <w:sz w:val="30"/>
          <w:szCs w:val="30"/>
        </w:rPr>
        <w:t>GB/T 36193界定的术语和定义适用于本文件。</w:t>
      </w:r>
    </w:p>
    <w:p>
      <w:pPr>
        <w:spacing w:line="360" w:lineRule="auto"/>
        <w:ind w:firstLine="602" w:firstLineChars="200"/>
        <w:jc w:val="left"/>
        <w:rPr>
          <w:rFonts w:ascii="仿宋" w:hAnsi="仿宋" w:eastAsia="仿宋" w:cs="仿宋"/>
          <w:b/>
          <w:color w:val="000000"/>
          <w:sz w:val="30"/>
          <w:szCs w:val="30"/>
        </w:rPr>
      </w:pPr>
      <w:r>
        <w:rPr>
          <w:rFonts w:hint="eastAsia" w:ascii="仿宋" w:hAnsi="仿宋" w:eastAsia="仿宋" w:cs="仿宋"/>
          <w:b/>
          <w:color w:val="000000"/>
          <w:sz w:val="30"/>
          <w:szCs w:val="30"/>
        </w:rPr>
        <w:t>（四）</w:t>
      </w:r>
      <w:r>
        <w:rPr>
          <w:rFonts w:hint="eastAsia" w:ascii="仿宋" w:hAnsi="仿宋" w:eastAsia="仿宋" w:cs="仿宋"/>
          <w:b/>
          <w:sz w:val="30"/>
          <w:szCs w:val="30"/>
        </w:rPr>
        <w:t>标准主要内容</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1、</w:t>
      </w:r>
      <w:bookmarkStart w:id="0" w:name="4.1_加工车间、设施与设备、卫生管理及生产过程的食品安全控制等符合GB_209"/>
      <w:bookmarkEnd w:id="0"/>
      <w:r>
        <w:rPr>
          <w:rFonts w:hint="eastAsia" w:ascii="仿宋" w:hAnsi="仿宋" w:eastAsia="仿宋" w:cs="仿宋"/>
          <w:bCs/>
          <w:sz w:val="30"/>
          <w:szCs w:val="30"/>
        </w:rPr>
        <w:t>总体要求</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1）、加工车间、设施与设备、卫生管理及生产过程的食品安全控制等应符合GB 20941的规定。</w:t>
      </w:r>
    </w:p>
    <w:p>
      <w:pPr>
        <w:pStyle w:val="2"/>
        <w:spacing w:before="10" w:line="360" w:lineRule="auto"/>
        <w:ind w:firstLine="600"/>
        <w:rPr>
          <w:rFonts w:ascii="仿宋" w:hAnsi="仿宋" w:eastAsia="仿宋" w:cs="仿宋"/>
          <w:bCs/>
          <w:sz w:val="30"/>
          <w:szCs w:val="30"/>
          <w:lang w:eastAsia="zh-CN"/>
        </w:rPr>
      </w:pPr>
      <w:r>
        <w:rPr>
          <w:rFonts w:hint="eastAsia" w:ascii="仿宋" w:hAnsi="仿宋" w:eastAsia="仿宋" w:cs="仿宋"/>
          <w:bCs/>
          <w:sz w:val="30"/>
          <w:szCs w:val="30"/>
          <w:lang w:eastAsia="zh-CN"/>
        </w:rPr>
        <w:t>2）、加工用水为饮用水或清洁海水。饮用水应符合 GB 5749 的规定，清洁海水应符合GB 5749中微生物、污染物的要求且不含异物。</w:t>
      </w:r>
      <w:bookmarkStart w:id="1" w:name="4.3_加工用食品添加剂的品种及用量符合GB_2760的规定。"/>
      <w:bookmarkEnd w:id="1"/>
    </w:p>
    <w:p>
      <w:pPr>
        <w:pStyle w:val="2"/>
        <w:spacing w:before="10" w:line="360" w:lineRule="auto"/>
        <w:ind w:firstLine="600"/>
        <w:rPr>
          <w:rFonts w:ascii="仿宋" w:hAnsi="仿宋" w:eastAsia="仿宋" w:cs="仿宋"/>
          <w:bCs/>
          <w:sz w:val="30"/>
          <w:szCs w:val="30"/>
          <w:lang w:eastAsia="zh-CN"/>
        </w:rPr>
      </w:pPr>
      <w:r>
        <w:rPr>
          <w:rFonts w:hint="eastAsia" w:ascii="仿宋" w:hAnsi="仿宋" w:eastAsia="仿宋" w:cs="仿宋"/>
          <w:bCs/>
          <w:sz w:val="30"/>
          <w:szCs w:val="30"/>
          <w:lang w:eastAsia="zh-CN"/>
        </w:rPr>
        <w:t>3）、加工用食品添加剂的品种及用量应符合GB 2760的规定。</w:t>
      </w:r>
    </w:p>
    <w:p>
      <w:pPr>
        <w:spacing w:line="360" w:lineRule="auto"/>
        <w:ind w:firstLine="600" w:firstLineChars="200"/>
        <w:jc w:val="left"/>
        <w:rPr>
          <w:rFonts w:ascii="仿宋" w:hAnsi="仿宋" w:eastAsia="仿宋" w:cs="仿宋"/>
          <w:bCs/>
          <w:sz w:val="30"/>
          <w:szCs w:val="30"/>
        </w:rPr>
      </w:pPr>
      <w:bookmarkStart w:id="2" w:name="4.4_加工用植物油应符合GB_2716的规定。"/>
      <w:bookmarkEnd w:id="2"/>
      <w:r>
        <w:rPr>
          <w:rFonts w:hint="eastAsia" w:ascii="仿宋" w:hAnsi="仿宋" w:eastAsia="仿宋" w:cs="仿宋"/>
          <w:bCs/>
          <w:sz w:val="30"/>
          <w:szCs w:val="30"/>
        </w:rPr>
        <w:t>4）、加工用植物油应符合 GB 2716 的规定。</w:t>
      </w:r>
      <w:bookmarkStart w:id="3" w:name="4.5_其他辅料应符合相应的标准要求和规定。"/>
      <w:bookmarkEnd w:id="3"/>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5）、其他辅料应符合相应标准和有关规定。</w:t>
      </w:r>
      <w:bookmarkStart w:id="4" w:name="4.6_包装材料应符合相应的标准要求和规定。"/>
      <w:bookmarkEnd w:id="4"/>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6）、包装材料应符合相应标准和有关规定。</w:t>
      </w:r>
      <w:bookmarkStart w:id="5" w:name="4.7_加工过程所用设备、设置和器具应洁净、无污染。"/>
      <w:bookmarkEnd w:id="5"/>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7）、加工过程所用设备、设置和器具应洁净、无污染。</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2、加工工艺流程</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加工工艺包括17个工序。其中工序2为可选工序，可根据实际生产需要进行选用。即食金鲳鱼块加工工艺流程图见图1。</w:t>
      </w:r>
    </w:p>
    <w:p>
      <w:pPr>
        <w:spacing w:line="360" w:lineRule="auto"/>
        <w:ind w:firstLine="600" w:firstLineChars="200"/>
        <w:jc w:val="left"/>
        <w:rPr>
          <w:rFonts w:ascii="仿宋" w:hAnsi="仿宋" w:eastAsia="仿宋" w:cs="仿宋"/>
          <w:bCs/>
          <w:sz w:val="30"/>
          <w:szCs w:val="30"/>
        </w:rPr>
      </w:pPr>
      <w:r>
        <w:rPr>
          <w:rFonts w:ascii="仿宋" w:hAnsi="仿宋" w:eastAsia="仿宋" w:cs="仿宋"/>
          <w:bCs/>
          <w:sz w:val="30"/>
          <w:szCs w:val="30"/>
        </w:rPr>
        <w:drawing>
          <wp:inline distT="0" distB="0" distL="0" distR="0">
            <wp:extent cx="5495925" cy="4663440"/>
            <wp:effectExtent l="0" t="0" r="0" b="3810"/>
            <wp:docPr id="1" name="图片 1" descr="C:\Users\hp\Documents\WeChat Files\wxid_8jxk620u4r6921\FileStorage\Temp\1689317928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ocuments\WeChat Files\wxid_8jxk620u4r6921\FileStorage\Temp\16893179282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05855" cy="4672377"/>
                    </a:xfrm>
                    <a:prstGeom prst="rect">
                      <a:avLst/>
                    </a:prstGeom>
                    <a:noFill/>
                    <a:ln>
                      <a:noFill/>
                    </a:ln>
                  </pic:spPr>
                </pic:pic>
              </a:graphicData>
            </a:graphic>
          </wp:inline>
        </w:drawing>
      </w:r>
    </w:p>
    <w:p>
      <w:pPr>
        <w:pStyle w:val="2"/>
        <w:spacing w:line="540" w:lineRule="exact"/>
        <w:ind w:firstLine="1968" w:firstLineChars="700"/>
        <w:jc w:val="center"/>
        <w:rPr>
          <w:rFonts w:ascii="仿宋" w:hAnsi="仿宋" w:eastAsia="仿宋" w:cs="仿宋"/>
          <w:b/>
          <w:bCs/>
          <w:sz w:val="28"/>
          <w:szCs w:val="28"/>
          <w:lang w:eastAsia="zh-CN"/>
        </w:rPr>
      </w:pPr>
      <w:r>
        <w:rPr>
          <w:rFonts w:hint="eastAsia" w:ascii="仿宋" w:hAnsi="仿宋" w:eastAsia="仿宋" w:cs="仿宋"/>
          <w:b/>
          <w:bCs/>
          <w:sz w:val="28"/>
          <w:szCs w:val="28"/>
          <w:lang w:eastAsia="zh-CN"/>
        </w:rPr>
        <w:t>图1 即食金鲳鱼块加工工艺流程图</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3、加工操作</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主要包括原料鱼验收，解冻（可选），去</w:t>
      </w:r>
      <w:r>
        <w:rPr>
          <w:rFonts w:ascii="仿宋" w:hAnsi="仿宋" w:eastAsia="仿宋" w:cs="仿宋"/>
          <w:bCs/>
          <w:sz w:val="30"/>
          <w:szCs w:val="30"/>
        </w:rPr>
        <w:t>鳃、去内脏，切块，清洗，去腥，干法腌制，油炸，拌料，消毒，真空包装，杀菌，异物探测，产品静置，外包装，标签、标识，储存。</w:t>
      </w:r>
      <w:r>
        <w:rPr>
          <w:rFonts w:hint="eastAsia" w:ascii="仿宋" w:hAnsi="仿宋" w:eastAsia="仿宋" w:cs="仿宋"/>
          <w:bCs/>
          <w:sz w:val="30"/>
          <w:szCs w:val="30"/>
        </w:rPr>
        <w:t>根据即食金鲳鱼块加工操作的实际情况及国家相关标准制定。</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4、溯源管理</w:t>
      </w:r>
      <w:bookmarkStart w:id="6" w:name="7.1_原料记录"/>
      <w:bookmarkEnd w:id="6"/>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1）、原料记录</w:t>
      </w:r>
    </w:p>
    <w:p>
      <w:pPr>
        <w:spacing w:line="360" w:lineRule="auto"/>
        <w:ind w:firstLine="600" w:firstLineChars="200"/>
        <w:jc w:val="left"/>
        <w:rPr>
          <w:rFonts w:ascii="仿宋" w:hAnsi="仿宋" w:eastAsia="仿宋" w:cs="仿宋"/>
          <w:bCs/>
          <w:sz w:val="30"/>
          <w:szCs w:val="30"/>
        </w:rPr>
      </w:pPr>
      <w:bookmarkStart w:id="7" w:name="每批进厂的原料都应进行记录，记录的内容包括："/>
      <w:bookmarkEnd w:id="7"/>
      <w:r>
        <w:rPr>
          <w:rFonts w:hint="eastAsia" w:ascii="仿宋" w:hAnsi="仿宋" w:eastAsia="仿宋" w:cs="仿宋"/>
          <w:bCs/>
          <w:sz w:val="30"/>
          <w:szCs w:val="30"/>
        </w:rPr>
        <w:t>每批进厂的原料都应进行记录，记录的内容包括：</w:t>
      </w:r>
    </w:p>
    <w:p>
      <w:pPr>
        <w:spacing w:line="360" w:lineRule="auto"/>
        <w:ind w:firstLine="600" w:firstLineChars="200"/>
        <w:jc w:val="left"/>
        <w:rPr>
          <w:rFonts w:ascii="仿宋" w:hAnsi="仿宋" w:eastAsia="仿宋" w:cs="仿宋"/>
          <w:bCs/>
          <w:sz w:val="30"/>
          <w:szCs w:val="30"/>
        </w:rPr>
      </w:pPr>
      <w:bookmarkStart w:id="8" w:name="接收日期；"/>
      <w:bookmarkEnd w:id="8"/>
      <w:r>
        <w:rPr>
          <w:rFonts w:hint="eastAsia" w:ascii="仿宋" w:hAnsi="仿宋" w:eastAsia="仿宋" w:cs="仿宋"/>
          <w:bCs/>
          <w:sz w:val="30"/>
          <w:szCs w:val="30"/>
        </w:rPr>
        <w:t>a) 接收日期；</w:t>
      </w:r>
    </w:p>
    <w:p>
      <w:pPr>
        <w:spacing w:line="360" w:lineRule="auto"/>
        <w:ind w:firstLine="600" w:firstLineChars="200"/>
        <w:jc w:val="left"/>
        <w:rPr>
          <w:rFonts w:ascii="仿宋" w:hAnsi="仿宋" w:eastAsia="仿宋" w:cs="仿宋"/>
          <w:bCs/>
          <w:sz w:val="30"/>
          <w:szCs w:val="30"/>
        </w:rPr>
      </w:pPr>
      <w:bookmarkStart w:id="9" w:name="产地来源；"/>
      <w:bookmarkEnd w:id="9"/>
      <w:r>
        <w:rPr>
          <w:rFonts w:hint="eastAsia" w:ascii="仿宋" w:hAnsi="仿宋" w:eastAsia="仿宋" w:cs="仿宋"/>
          <w:bCs/>
          <w:sz w:val="30"/>
          <w:szCs w:val="30"/>
        </w:rPr>
        <w:t>b) 产地来源；</w:t>
      </w:r>
    </w:p>
    <w:p>
      <w:pPr>
        <w:spacing w:line="360" w:lineRule="auto"/>
        <w:ind w:firstLine="600" w:firstLineChars="200"/>
        <w:jc w:val="left"/>
        <w:rPr>
          <w:rFonts w:ascii="仿宋" w:hAnsi="仿宋" w:eastAsia="仿宋" w:cs="仿宋"/>
          <w:bCs/>
          <w:sz w:val="30"/>
          <w:szCs w:val="30"/>
        </w:rPr>
      </w:pPr>
      <w:bookmarkStart w:id="10" w:name="养殖厂和/或供应商；"/>
      <w:bookmarkEnd w:id="10"/>
      <w:r>
        <w:rPr>
          <w:rFonts w:hint="eastAsia" w:ascii="仿宋" w:hAnsi="仿宋" w:eastAsia="仿宋" w:cs="仿宋"/>
          <w:bCs/>
          <w:sz w:val="30"/>
          <w:szCs w:val="30"/>
        </w:rPr>
        <w:t>c) 养殖厂和/或供应商；</w:t>
      </w:r>
    </w:p>
    <w:p>
      <w:pPr>
        <w:spacing w:line="360" w:lineRule="auto"/>
        <w:ind w:firstLine="600" w:firstLineChars="200"/>
        <w:jc w:val="left"/>
        <w:rPr>
          <w:rFonts w:ascii="仿宋" w:hAnsi="仿宋" w:eastAsia="仿宋" w:cs="仿宋"/>
          <w:bCs/>
          <w:sz w:val="30"/>
          <w:szCs w:val="30"/>
        </w:rPr>
      </w:pPr>
      <w:bookmarkStart w:id="11" w:name="规格和重量；"/>
      <w:bookmarkEnd w:id="11"/>
      <w:r>
        <w:rPr>
          <w:rFonts w:hint="eastAsia" w:ascii="仿宋" w:hAnsi="仿宋" w:eastAsia="仿宋" w:cs="仿宋"/>
          <w:bCs/>
          <w:sz w:val="30"/>
          <w:szCs w:val="30"/>
        </w:rPr>
        <w:t>d) 规格和重量；</w:t>
      </w:r>
    </w:p>
    <w:p>
      <w:pPr>
        <w:spacing w:line="360" w:lineRule="auto"/>
        <w:ind w:firstLine="600" w:firstLineChars="200"/>
        <w:jc w:val="left"/>
        <w:rPr>
          <w:rFonts w:ascii="仿宋" w:hAnsi="仿宋" w:eastAsia="仿宋" w:cs="仿宋"/>
          <w:bCs/>
          <w:sz w:val="30"/>
          <w:szCs w:val="30"/>
        </w:rPr>
      </w:pPr>
      <w:bookmarkStart w:id="12" w:name="原料鱼新鲜度；"/>
      <w:bookmarkEnd w:id="12"/>
      <w:r>
        <w:rPr>
          <w:rFonts w:hint="eastAsia" w:ascii="仿宋" w:hAnsi="仿宋" w:eastAsia="仿宋" w:cs="仿宋"/>
          <w:bCs/>
          <w:sz w:val="30"/>
          <w:szCs w:val="30"/>
        </w:rPr>
        <w:t>e) 原料鱼新鲜度；</w:t>
      </w:r>
    </w:p>
    <w:p>
      <w:pPr>
        <w:spacing w:line="360" w:lineRule="auto"/>
        <w:ind w:firstLine="600" w:firstLineChars="200"/>
        <w:jc w:val="left"/>
        <w:rPr>
          <w:rFonts w:ascii="仿宋" w:hAnsi="仿宋" w:eastAsia="仿宋" w:cs="仿宋"/>
          <w:bCs/>
          <w:sz w:val="30"/>
          <w:szCs w:val="30"/>
        </w:rPr>
      </w:pPr>
      <w:bookmarkStart w:id="13" w:name="检验验收情况；"/>
      <w:bookmarkEnd w:id="13"/>
      <w:r>
        <w:rPr>
          <w:rFonts w:hint="eastAsia" w:ascii="仿宋" w:hAnsi="仿宋" w:eastAsia="仿宋" w:cs="仿宋"/>
          <w:bCs/>
          <w:sz w:val="30"/>
          <w:szCs w:val="30"/>
        </w:rPr>
        <w:t>f) 检验验收情况；</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g) 其他。</w:t>
      </w:r>
    </w:p>
    <w:p>
      <w:pPr>
        <w:spacing w:line="360" w:lineRule="auto"/>
        <w:ind w:firstLine="600" w:firstLineChars="200"/>
        <w:jc w:val="left"/>
        <w:rPr>
          <w:rFonts w:ascii="仿宋" w:hAnsi="仿宋" w:eastAsia="仿宋" w:cs="仿宋"/>
          <w:bCs/>
          <w:sz w:val="30"/>
          <w:szCs w:val="30"/>
        </w:rPr>
      </w:pPr>
      <w:bookmarkStart w:id="14" w:name="7.2_生产过程记录"/>
      <w:bookmarkEnd w:id="14"/>
      <w:r>
        <w:rPr>
          <w:rFonts w:hint="eastAsia" w:ascii="仿宋" w:hAnsi="仿宋" w:eastAsia="仿宋" w:cs="仿宋"/>
          <w:bCs/>
          <w:sz w:val="30"/>
          <w:szCs w:val="30"/>
        </w:rPr>
        <w:t>2）、生产过程记录</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在执行第6章所规定的各个阶段的程序指示过程中，记录并保持以下内容：</w:t>
      </w:r>
    </w:p>
    <w:p>
      <w:pPr>
        <w:spacing w:line="360" w:lineRule="auto"/>
        <w:ind w:firstLine="600" w:firstLineChars="200"/>
        <w:jc w:val="left"/>
        <w:rPr>
          <w:rFonts w:ascii="仿宋" w:hAnsi="仿宋" w:eastAsia="仿宋" w:cs="仿宋"/>
          <w:bCs/>
          <w:sz w:val="30"/>
          <w:szCs w:val="30"/>
        </w:rPr>
      </w:pPr>
      <w:bookmarkStart w:id="15" w:name="生产批号；"/>
      <w:bookmarkEnd w:id="15"/>
      <w:r>
        <w:rPr>
          <w:rFonts w:hint="eastAsia" w:ascii="仿宋" w:hAnsi="仿宋" w:eastAsia="仿宋" w:cs="仿宋"/>
          <w:bCs/>
          <w:sz w:val="30"/>
          <w:szCs w:val="30"/>
        </w:rPr>
        <w:t>a) 生产批号；</w:t>
      </w:r>
    </w:p>
    <w:p>
      <w:pPr>
        <w:spacing w:line="360" w:lineRule="auto"/>
        <w:ind w:firstLine="600" w:firstLineChars="200"/>
        <w:jc w:val="left"/>
        <w:rPr>
          <w:rFonts w:ascii="仿宋" w:hAnsi="仿宋" w:eastAsia="仿宋" w:cs="仿宋"/>
          <w:bCs/>
          <w:sz w:val="30"/>
          <w:szCs w:val="30"/>
        </w:rPr>
      </w:pPr>
      <w:bookmarkStart w:id="16" w:name="生产日期；"/>
      <w:bookmarkEnd w:id="16"/>
      <w:r>
        <w:rPr>
          <w:rFonts w:hint="eastAsia" w:ascii="仿宋" w:hAnsi="仿宋" w:eastAsia="仿宋" w:cs="仿宋"/>
          <w:bCs/>
          <w:sz w:val="30"/>
          <w:szCs w:val="30"/>
        </w:rPr>
        <w:t>b) 生产日期；</w:t>
      </w:r>
    </w:p>
    <w:p>
      <w:pPr>
        <w:spacing w:line="360" w:lineRule="auto"/>
        <w:ind w:firstLine="600" w:firstLineChars="200"/>
        <w:jc w:val="left"/>
        <w:rPr>
          <w:rFonts w:ascii="仿宋" w:hAnsi="仿宋" w:eastAsia="仿宋" w:cs="仿宋"/>
          <w:bCs/>
          <w:sz w:val="30"/>
          <w:szCs w:val="30"/>
        </w:rPr>
      </w:pPr>
      <w:bookmarkStart w:id="17" w:name="生产班组；"/>
      <w:bookmarkEnd w:id="17"/>
      <w:r>
        <w:rPr>
          <w:rFonts w:hint="eastAsia" w:ascii="仿宋" w:hAnsi="仿宋" w:eastAsia="仿宋" w:cs="仿宋"/>
          <w:bCs/>
          <w:sz w:val="30"/>
          <w:szCs w:val="30"/>
        </w:rPr>
        <w:t>c) 生产班组；</w:t>
      </w:r>
    </w:p>
    <w:p>
      <w:pPr>
        <w:spacing w:line="360" w:lineRule="auto"/>
        <w:ind w:firstLine="600" w:firstLineChars="200"/>
        <w:jc w:val="left"/>
        <w:rPr>
          <w:rFonts w:ascii="仿宋" w:hAnsi="仿宋" w:eastAsia="仿宋" w:cs="仿宋"/>
          <w:bCs/>
          <w:sz w:val="30"/>
          <w:szCs w:val="30"/>
        </w:rPr>
      </w:pPr>
      <w:bookmarkStart w:id="18" w:name="产品数量；"/>
      <w:bookmarkEnd w:id="18"/>
      <w:r>
        <w:rPr>
          <w:rFonts w:hint="eastAsia" w:ascii="仿宋" w:hAnsi="仿宋" w:eastAsia="仿宋" w:cs="仿宋"/>
          <w:bCs/>
          <w:sz w:val="30"/>
          <w:szCs w:val="30"/>
        </w:rPr>
        <w:t>d) 产品数量；</w:t>
      </w:r>
    </w:p>
    <w:p>
      <w:pPr>
        <w:spacing w:line="360" w:lineRule="auto"/>
        <w:ind w:firstLine="600" w:firstLineChars="200"/>
        <w:jc w:val="left"/>
        <w:rPr>
          <w:rFonts w:ascii="仿宋" w:hAnsi="仿宋" w:eastAsia="仿宋" w:cs="仿宋"/>
          <w:bCs/>
          <w:sz w:val="30"/>
          <w:szCs w:val="30"/>
        </w:rPr>
      </w:pPr>
      <w:bookmarkStart w:id="19" w:name="关键控制点的监控记录、纠偏措施和验证记录"/>
      <w:bookmarkEnd w:id="19"/>
      <w:r>
        <w:rPr>
          <w:rFonts w:hint="eastAsia" w:ascii="仿宋" w:hAnsi="仿宋" w:eastAsia="仿宋" w:cs="仿宋"/>
          <w:bCs/>
          <w:sz w:val="30"/>
          <w:szCs w:val="30"/>
        </w:rPr>
        <w:t>e) 关键控制点的监控记录、纠偏措施和验证记录</w:t>
      </w:r>
    </w:p>
    <w:p>
      <w:pPr>
        <w:spacing w:line="360" w:lineRule="auto"/>
        <w:ind w:firstLine="600" w:firstLineChars="200"/>
        <w:jc w:val="left"/>
        <w:rPr>
          <w:rFonts w:ascii="仿宋" w:hAnsi="仿宋" w:eastAsia="仿宋" w:cs="仿宋"/>
          <w:bCs/>
          <w:sz w:val="30"/>
          <w:szCs w:val="30"/>
        </w:rPr>
      </w:pPr>
      <w:bookmarkStart w:id="20" w:name="监控仪器校正记录；"/>
      <w:bookmarkEnd w:id="20"/>
      <w:r>
        <w:rPr>
          <w:rFonts w:hint="eastAsia" w:ascii="仿宋" w:hAnsi="仿宋" w:eastAsia="仿宋" w:cs="仿宋"/>
          <w:bCs/>
          <w:sz w:val="30"/>
          <w:szCs w:val="30"/>
        </w:rPr>
        <w:t>f) 监控仪器校正记录；</w:t>
      </w:r>
    </w:p>
    <w:p>
      <w:pPr>
        <w:spacing w:line="360" w:lineRule="auto"/>
        <w:ind w:firstLine="600" w:firstLineChars="200"/>
        <w:jc w:val="left"/>
        <w:rPr>
          <w:rFonts w:ascii="仿宋" w:hAnsi="仿宋" w:eastAsia="仿宋" w:cs="仿宋"/>
          <w:bCs/>
          <w:sz w:val="30"/>
          <w:szCs w:val="30"/>
        </w:rPr>
      </w:pPr>
      <w:bookmarkStart w:id="21" w:name="成品检验记录；"/>
      <w:bookmarkEnd w:id="21"/>
      <w:r>
        <w:rPr>
          <w:rFonts w:hint="eastAsia" w:ascii="仿宋" w:hAnsi="仿宋" w:eastAsia="仿宋" w:cs="仿宋"/>
          <w:bCs/>
          <w:sz w:val="30"/>
          <w:szCs w:val="30"/>
        </w:rPr>
        <w:t>g) 成品检验记录；</w:t>
      </w:r>
    </w:p>
    <w:p>
      <w:pPr>
        <w:spacing w:line="360" w:lineRule="auto"/>
        <w:ind w:firstLine="600" w:firstLineChars="200"/>
        <w:jc w:val="left"/>
        <w:rPr>
          <w:rFonts w:ascii="仿宋" w:hAnsi="仿宋" w:eastAsia="仿宋" w:cs="仿宋"/>
          <w:bCs/>
          <w:sz w:val="30"/>
          <w:szCs w:val="30"/>
        </w:rPr>
      </w:pPr>
      <w:bookmarkStart w:id="22" w:name="次品处理记录；"/>
      <w:bookmarkEnd w:id="22"/>
      <w:r>
        <w:rPr>
          <w:rFonts w:hint="eastAsia" w:ascii="仿宋" w:hAnsi="仿宋" w:eastAsia="仿宋" w:cs="仿宋"/>
          <w:bCs/>
          <w:sz w:val="30"/>
          <w:szCs w:val="30"/>
        </w:rPr>
        <w:t>h) 次品处理记录；</w:t>
      </w:r>
    </w:p>
    <w:p>
      <w:pPr>
        <w:spacing w:line="360" w:lineRule="auto"/>
        <w:ind w:firstLine="600" w:firstLineChars="200"/>
        <w:jc w:val="left"/>
        <w:rPr>
          <w:rFonts w:ascii="仿宋" w:hAnsi="仿宋" w:eastAsia="仿宋" w:cs="仿宋"/>
          <w:bCs/>
          <w:sz w:val="30"/>
          <w:szCs w:val="30"/>
        </w:rPr>
      </w:pPr>
      <w:bookmarkStart w:id="23" w:name="其他。"/>
      <w:bookmarkEnd w:id="23"/>
      <w:r>
        <w:rPr>
          <w:rFonts w:hint="eastAsia" w:ascii="仿宋" w:hAnsi="仿宋" w:eastAsia="仿宋" w:cs="仿宋"/>
          <w:bCs/>
          <w:sz w:val="30"/>
          <w:szCs w:val="30"/>
        </w:rPr>
        <w:t>i) 其他。</w:t>
      </w:r>
    </w:p>
    <w:p>
      <w:pPr>
        <w:spacing w:line="360" w:lineRule="auto"/>
        <w:ind w:firstLine="600" w:firstLineChars="200"/>
        <w:jc w:val="left"/>
        <w:rPr>
          <w:rFonts w:ascii="仿宋" w:hAnsi="仿宋" w:eastAsia="仿宋" w:cs="仿宋"/>
          <w:bCs/>
          <w:sz w:val="30"/>
          <w:szCs w:val="30"/>
        </w:rPr>
      </w:pPr>
      <w:bookmarkStart w:id="24" w:name="7.3_档案管理"/>
      <w:bookmarkEnd w:id="24"/>
      <w:r>
        <w:rPr>
          <w:rFonts w:hint="eastAsia" w:ascii="仿宋" w:hAnsi="仿宋" w:eastAsia="仿宋" w:cs="仿宋"/>
          <w:bCs/>
          <w:sz w:val="30"/>
          <w:szCs w:val="30"/>
        </w:rPr>
        <w:t>3）、档案管理</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建立完整的质量管理档案，各种记录分类装订、归档，记录的保存时间不少于产品保质期满后六个月；没有明确保质期的，保存期限自生产日期始不少于二年。</w:t>
      </w:r>
    </w:p>
    <w:p>
      <w:pPr>
        <w:spacing w:line="360" w:lineRule="auto"/>
        <w:rPr>
          <w:rFonts w:ascii="仿宋" w:hAnsi="仿宋" w:eastAsia="仿宋" w:cs="仿宋"/>
          <w:b/>
          <w:color w:val="000000"/>
          <w:sz w:val="30"/>
          <w:szCs w:val="30"/>
        </w:rPr>
      </w:pPr>
      <w:r>
        <w:rPr>
          <w:rFonts w:hint="eastAsia" w:ascii="仿宋" w:hAnsi="仿宋" w:eastAsia="仿宋" w:cs="仿宋"/>
          <w:b/>
          <w:color w:val="000000"/>
          <w:sz w:val="30"/>
          <w:szCs w:val="30"/>
        </w:rPr>
        <w:t>六、国内外标准对比以及采标程度</w:t>
      </w:r>
    </w:p>
    <w:p>
      <w:pPr>
        <w:spacing w:line="360" w:lineRule="auto"/>
        <w:ind w:firstLine="600" w:firstLineChars="200"/>
        <w:rPr>
          <w:rFonts w:ascii="仿宋" w:hAnsi="仿宋" w:eastAsia="仿宋" w:cs="仿宋"/>
          <w:b/>
          <w:color w:val="000000"/>
          <w:sz w:val="30"/>
          <w:szCs w:val="30"/>
        </w:rPr>
      </w:pPr>
      <w:r>
        <w:rPr>
          <w:rFonts w:hint="eastAsia" w:ascii="仿宋" w:hAnsi="仿宋" w:eastAsia="仿宋" w:cs="仿宋"/>
          <w:color w:val="000000"/>
          <w:sz w:val="30"/>
          <w:szCs w:val="30"/>
        </w:rPr>
        <w:t>无。</w:t>
      </w:r>
    </w:p>
    <w:p>
      <w:pPr>
        <w:spacing w:line="360" w:lineRule="auto"/>
        <w:rPr>
          <w:rFonts w:ascii="仿宋" w:hAnsi="仿宋" w:eastAsia="仿宋" w:cs="仿宋"/>
          <w:b/>
          <w:color w:val="000000"/>
          <w:sz w:val="30"/>
          <w:szCs w:val="30"/>
        </w:rPr>
      </w:pPr>
      <w:r>
        <w:rPr>
          <w:rFonts w:hint="eastAsia" w:ascii="仿宋" w:hAnsi="仿宋" w:eastAsia="仿宋" w:cs="仿宋"/>
          <w:b/>
          <w:color w:val="000000"/>
          <w:sz w:val="30"/>
          <w:szCs w:val="30"/>
        </w:rPr>
        <w:t>七、与有关的现行法律、法规和强制性标准的关系</w:t>
      </w:r>
    </w:p>
    <w:p>
      <w:pPr>
        <w:spacing w:line="6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加工车间、设施与设备、卫生管理及生产过程的食品安全控制引用GB 20941《食品安全国家标准 水产制品生产卫生规范》；加工用水为饮用水或清洁海水，饮用水符合GB 5749《生活饮用水卫生标准的规定》、清洁海水符合GB 5749《生活饮用水卫生标准中》的微生物、污染物和要求且不含异物；加工用食品添加剂的品种及用量引用GB 2760《食品安全国家标准 食品添加使用标准》；加工用植物油引用GB 2716《食品安全国家标准 植物油》；鲜活鱼、冻鱼品品质引用GB 2733《食品安全国家标准 鲜、冻动物性水产品》、GB/T 18108《鲜海水鱼通则》、GB/T 18109《冻鱼》；外包装材料引用SC/T 3035《水产品包装、标识通则》；预包装产品的标签引用 GB 7718《食品安全国家标准 预包装食品标签通则》、GB 28050《食品安全国家标准 预包装食品营养标签通则》；运输包装上的图示标志引用GB/T191《包装储运图示标志》。</w:t>
      </w:r>
    </w:p>
    <w:p>
      <w:pPr>
        <w:spacing w:line="6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本标准与有关的现行法律、法规和强制性标准不冲突。</w:t>
      </w:r>
    </w:p>
    <w:p>
      <w:pPr>
        <w:spacing w:line="360" w:lineRule="auto"/>
        <w:rPr>
          <w:rFonts w:ascii="仿宋" w:hAnsi="仿宋" w:eastAsia="仿宋" w:cs="仿宋"/>
          <w:b/>
          <w:color w:val="000000"/>
          <w:sz w:val="30"/>
          <w:szCs w:val="30"/>
        </w:rPr>
      </w:pPr>
      <w:r>
        <w:rPr>
          <w:rFonts w:hint="eastAsia" w:ascii="仿宋" w:hAnsi="仿宋" w:eastAsia="仿宋" w:cs="仿宋"/>
          <w:b/>
          <w:color w:val="000000"/>
          <w:sz w:val="30"/>
          <w:szCs w:val="30"/>
        </w:rPr>
        <w:t>八、标准作为强制性标准或推荐性标准的建议</w:t>
      </w:r>
    </w:p>
    <w:p>
      <w:pPr>
        <w:spacing w:line="360" w:lineRule="auto"/>
        <w:ind w:firstLine="600" w:firstLineChars="200"/>
        <w:jc w:val="left"/>
        <w:rPr>
          <w:rFonts w:ascii="仿宋" w:hAnsi="仿宋" w:eastAsia="仿宋" w:cs="仿宋"/>
          <w:bCs/>
          <w:sz w:val="30"/>
          <w:szCs w:val="30"/>
        </w:rPr>
      </w:pPr>
      <w:r>
        <w:rPr>
          <w:rFonts w:hint="eastAsia" w:ascii="仿宋" w:hAnsi="仿宋" w:eastAsia="仿宋" w:cs="仿宋"/>
          <w:bCs/>
          <w:sz w:val="30"/>
          <w:szCs w:val="30"/>
        </w:rPr>
        <w:t>建议本标准作为推荐性标准。</w:t>
      </w:r>
    </w:p>
    <w:p>
      <w:pPr>
        <w:spacing w:line="360" w:lineRule="auto"/>
        <w:ind w:firstLine="600" w:firstLineChars="200"/>
        <w:jc w:val="left"/>
        <w:rPr>
          <w:rFonts w:ascii="仿宋" w:hAnsi="仿宋" w:eastAsia="仿宋" w:cs="仿宋"/>
          <w:bCs/>
          <w:sz w:val="30"/>
          <w:szCs w:val="30"/>
        </w:rPr>
      </w:pPr>
    </w:p>
    <w:p>
      <w:pPr>
        <w:spacing w:line="360" w:lineRule="auto"/>
        <w:ind w:firstLine="600" w:firstLineChars="200"/>
        <w:jc w:val="right"/>
        <w:rPr>
          <w:rFonts w:ascii="仿宋" w:hAnsi="仿宋" w:eastAsia="仿宋" w:cs="仿宋"/>
          <w:sz w:val="30"/>
          <w:szCs w:val="30"/>
        </w:rPr>
      </w:pPr>
      <w:r>
        <w:rPr>
          <w:rFonts w:hint="eastAsia" w:ascii="仿宋" w:hAnsi="仿宋" w:eastAsia="仿宋" w:cs="仿宋"/>
          <w:sz w:val="30"/>
          <w:szCs w:val="30"/>
        </w:rPr>
        <w:t xml:space="preserve">    《即食金鲳鱼块加工技术规程》标准起草小组</w:t>
      </w:r>
    </w:p>
    <w:p>
      <w:pPr>
        <w:spacing w:line="360" w:lineRule="auto"/>
        <w:ind w:firstLine="600" w:firstLineChars="200"/>
        <w:jc w:val="right"/>
        <w:rPr>
          <w:rFonts w:ascii="仿宋" w:hAnsi="仿宋" w:eastAsia="仿宋" w:cs="仿宋"/>
          <w:sz w:val="30"/>
          <w:szCs w:val="30"/>
        </w:rPr>
      </w:pPr>
      <w:r>
        <w:rPr>
          <w:rFonts w:hint="eastAsia" w:ascii="仿宋" w:hAnsi="仿宋" w:eastAsia="仿宋" w:cs="仿宋"/>
          <w:sz w:val="30"/>
          <w:szCs w:val="30"/>
        </w:rPr>
        <w:t>2023年7月</w:t>
      </w:r>
      <w:r>
        <w:rPr>
          <w:rFonts w:hint="eastAsia" w:ascii="仿宋" w:hAnsi="仿宋" w:eastAsia="仿宋" w:cs="仿宋"/>
          <w:sz w:val="30"/>
          <w:szCs w:val="30"/>
          <w:lang w:val="en-US" w:eastAsia="zh-CN"/>
        </w:rPr>
        <w:t>18</w:t>
      </w:r>
      <w:bookmarkStart w:id="25" w:name="_GoBack"/>
      <w:bookmarkEnd w:id="25"/>
      <w:r>
        <w:rPr>
          <w:rFonts w:hint="eastAsia" w:ascii="仿宋" w:hAnsi="仿宋" w:eastAsia="仿宋" w:cs="仿宋"/>
          <w:sz w:val="30"/>
          <w:szCs w:val="30"/>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233"/>
      <w:rPr>
        <w:rFonts w:ascii="宋体" w:hAnsi="宋体" w:cs="宋体"/>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ZTk0ZmYyNmQ4NWEzYjU0NmNiOGJiMDkzZTdlZGIifQ=="/>
  </w:docVars>
  <w:rsids>
    <w:rsidRoot w:val="00DE3254"/>
    <w:rsid w:val="000003C5"/>
    <w:rsid w:val="00005F2B"/>
    <w:rsid w:val="000074E0"/>
    <w:rsid w:val="000A4D85"/>
    <w:rsid w:val="000C6A16"/>
    <w:rsid w:val="000D3A5A"/>
    <w:rsid w:val="000D7108"/>
    <w:rsid w:val="0013342F"/>
    <w:rsid w:val="00151DDF"/>
    <w:rsid w:val="001C4B44"/>
    <w:rsid w:val="001D153D"/>
    <w:rsid w:val="00212233"/>
    <w:rsid w:val="00225440"/>
    <w:rsid w:val="0024186C"/>
    <w:rsid w:val="00243827"/>
    <w:rsid w:val="002C31A3"/>
    <w:rsid w:val="003037EE"/>
    <w:rsid w:val="0031170B"/>
    <w:rsid w:val="00320490"/>
    <w:rsid w:val="003C206B"/>
    <w:rsid w:val="003C26B6"/>
    <w:rsid w:val="003E2E4D"/>
    <w:rsid w:val="00451DB2"/>
    <w:rsid w:val="004847D5"/>
    <w:rsid w:val="004A49D1"/>
    <w:rsid w:val="004E4E9A"/>
    <w:rsid w:val="004F089B"/>
    <w:rsid w:val="0051282B"/>
    <w:rsid w:val="005259D8"/>
    <w:rsid w:val="00540E8C"/>
    <w:rsid w:val="00555AAF"/>
    <w:rsid w:val="00595BBF"/>
    <w:rsid w:val="005B525A"/>
    <w:rsid w:val="005D1FC0"/>
    <w:rsid w:val="005D6118"/>
    <w:rsid w:val="00623E1E"/>
    <w:rsid w:val="00686BBC"/>
    <w:rsid w:val="006D406F"/>
    <w:rsid w:val="00705DBD"/>
    <w:rsid w:val="007313C7"/>
    <w:rsid w:val="00741045"/>
    <w:rsid w:val="00820514"/>
    <w:rsid w:val="00860AD5"/>
    <w:rsid w:val="008A7F7D"/>
    <w:rsid w:val="008C49F9"/>
    <w:rsid w:val="00911890"/>
    <w:rsid w:val="00926892"/>
    <w:rsid w:val="00927047"/>
    <w:rsid w:val="00967693"/>
    <w:rsid w:val="00A36434"/>
    <w:rsid w:val="00A44AA1"/>
    <w:rsid w:val="00A525CE"/>
    <w:rsid w:val="00A66D27"/>
    <w:rsid w:val="00B516F3"/>
    <w:rsid w:val="00B51DD6"/>
    <w:rsid w:val="00B83454"/>
    <w:rsid w:val="00C64745"/>
    <w:rsid w:val="00D45E21"/>
    <w:rsid w:val="00D75BF0"/>
    <w:rsid w:val="00DC0A4B"/>
    <w:rsid w:val="00DE2374"/>
    <w:rsid w:val="00DE3254"/>
    <w:rsid w:val="00E154FA"/>
    <w:rsid w:val="00F10394"/>
    <w:rsid w:val="00F10FF8"/>
    <w:rsid w:val="00F331D3"/>
    <w:rsid w:val="00F7776B"/>
    <w:rsid w:val="00F9321E"/>
    <w:rsid w:val="00FE4255"/>
    <w:rsid w:val="01710365"/>
    <w:rsid w:val="01FF6547"/>
    <w:rsid w:val="08D93C76"/>
    <w:rsid w:val="0AF850BA"/>
    <w:rsid w:val="0F895414"/>
    <w:rsid w:val="110D609A"/>
    <w:rsid w:val="12E4523D"/>
    <w:rsid w:val="171E3E5B"/>
    <w:rsid w:val="17520525"/>
    <w:rsid w:val="1BC616CD"/>
    <w:rsid w:val="1CD96C83"/>
    <w:rsid w:val="233C54FA"/>
    <w:rsid w:val="28D60F31"/>
    <w:rsid w:val="316B62D0"/>
    <w:rsid w:val="32F072FF"/>
    <w:rsid w:val="371A5914"/>
    <w:rsid w:val="38693938"/>
    <w:rsid w:val="3A0B45C9"/>
    <w:rsid w:val="3A702DD5"/>
    <w:rsid w:val="3BC25BCD"/>
    <w:rsid w:val="3E3C2661"/>
    <w:rsid w:val="412837C5"/>
    <w:rsid w:val="42731488"/>
    <w:rsid w:val="46A230FE"/>
    <w:rsid w:val="4A541F75"/>
    <w:rsid w:val="4BF156F6"/>
    <w:rsid w:val="4C2132B8"/>
    <w:rsid w:val="4DD728CB"/>
    <w:rsid w:val="569D06DA"/>
    <w:rsid w:val="58232615"/>
    <w:rsid w:val="59C72A28"/>
    <w:rsid w:val="5D7E2D63"/>
    <w:rsid w:val="5E913225"/>
    <w:rsid w:val="609D78B0"/>
    <w:rsid w:val="612A63D2"/>
    <w:rsid w:val="63FE47CF"/>
    <w:rsid w:val="68F42C37"/>
    <w:rsid w:val="69CC30A8"/>
    <w:rsid w:val="6AC50223"/>
    <w:rsid w:val="711066D6"/>
    <w:rsid w:val="738F2E5D"/>
    <w:rsid w:val="7427727E"/>
    <w:rsid w:val="749F7D37"/>
    <w:rsid w:val="75120509"/>
    <w:rsid w:val="7ECC3C91"/>
    <w:rsid w:val="7FD9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Cs w:val="21"/>
      <w:lang w:eastAsia="en-US"/>
    </w:rPr>
  </w:style>
  <w:style w:type="paragraph" w:styleId="3">
    <w:name w:val="Plain Text"/>
    <w:basedOn w:val="1"/>
    <w:uiPriority w:val="0"/>
    <w:rPr>
      <w:rFonts w:ascii="宋体" w:hAnsi="Courier New"/>
      <w:szCs w:val="20"/>
    </w:rPr>
  </w:style>
  <w:style w:type="paragraph" w:styleId="4">
    <w:name w:val="Balloon Text"/>
    <w:basedOn w:val="1"/>
    <w:link w:val="14"/>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msolistparagraph"/>
    <w:basedOn w:val="1"/>
    <w:qFormat/>
    <w:uiPriority w:val="0"/>
    <w:pPr>
      <w:ind w:firstLine="420" w:firstLineChars="200"/>
    </w:p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Table Text"/>
    <w:basedOn w:val="1"/>
    <w:semiHidden/>
    <w:qFormat/>
    <w:uiPriority w:val="0"/>
    <w:rPr>
      <w:rFonts w:ascii="宋体" w:hAnsi="宋体" w:cs="宋体"/>
      <w:sz w:val="24"/>
      <w:szCs w:val="24"/>
      <w:lang w:eastAsia="en-US"/>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styleId="13">
    <w:name w:val="List Paragraph"/>
    <w:basedOn w:val="1"/>
    <w:qFormat/>
    <w:uiPriority w:val="1"/>
    <w:pPr>
      <w:ind w:left="852" w:hanging="734"/>
    </w:pPr>
    <w:rPr>
      <w:rFonts w:ascii="宋体" w:hAnsi="宋体" w:cs="宋体"/>
    </w:rPr>
  </w:style>
  <w:style w:type="character" w:customStyle="1" w:styleId="14">
    <w:name w:val="批注框文本 Char"/>
    <w:basedOn w:val="8"/>
    <w:link w:val="4"/>
    <w:uiPriority w:val="0"/>
    <w:rPr>
      <w:rFonts w:ascii="Calibri" w:hAnsi="Calibri" w:eastAsia="宋体" w:cs="Times New Roman"/>
      <w:kern w:val="2"/>
      <w:sz w:val="18"/>
      <w:szCs w:val="18"/>
    </w:rPr>
  </w:style>
  <w:style w:type="character" w:customStyle="1" w:styleId="15">
    <w:name w:val="页脚 Char"/>
    <w:basedOn w:val="8"/>
    <w:link w:val="5"/>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7</Pages>
  <Words>2752</Words>
  <Characters>2913</Characters>
  <Lines>21</Lines>
  <Paragraphs>6</Paragraphs>
  <TotalTime>65</TotalTime>
  <ScaleCrop>false</ScaleCrop>
  <LinksUpToDate>false</LinksUpToDate>
  <CharactersWithSpaces>2988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2023-07-05T03:16:00Z</dcterms:created>
  <dc:creator>admin</dc:creator>
  <cp:lastModifiedBy>WPS_1338739717</cp:lastModifiedBy>
  <dcterms:modified xsi:type="dcterms:W3CDTF">2023-07-18T07:22:08Z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DEC54FE90AA8421EB8C1ACF8A1971380_12</vt:lpwstr>
  </property>
</Properties>
</file>